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4"/>
          <w:szCs w:val="24"/>
        </w:rPr>
      </w:pPr>
      <w:bookmarkStart w:colFirst="0" w:colLast="0" w:name="_86musugbaqf2" w:id="0"/>
      <w:bookmarkEnd w:id="0"/>
      <w:r w:rsidDel="00000000" w:rsidR="00000000" w:rsidRPr="00000000">
        <w:rPr>
          <w:b w:val="1"/>
          <w:bCs w:val="1"/>
          <w:i w:val="1"/>
          <w:iCs w:val="1"/>
          <w:sz w:val="24"/>
          <w:szCs w:val="24"/>
          <w:rtl w:val="0"/>
        </w:rPr>
        <w:t xml:space="preserve">[Nonprofit Name]</w:t>
      </w:r>
      <w:r w:rsidDel="00000000" w:rsidR="00000000" w:rsidRPr="00000000">
        <w:rPr>
          <w:b w:val="1"/>
          <w:bCs w:val="1"/>
          <w:sz w:val="24"/>
          <w:szCs w:val="24"/>
          <w:rtl w:val="0"/>
        </w:rPr>
        <w:t xml:space="preserve"> Records Retention and Destruction Policy</w:t>
      </w:r>
    </w:p>
    <w:p w:rsidR="00000000" w:rsidDel="00000000" w:rsidP="00000000" w:rsidRDefault="00000000" w:rsidRPr="00000000" w14:paraId="00000002">
      <w:pPr>
        <w:pStyle w:val="Heading2"/>
        <w:keepNext w:val="0"/>
        <w:keepLines w:val="0"/>
        <w:spacing w:after="80" w:line="240" w:lineRule="auto"/>
        <w:rPr>
          <w:b w:val="1"/>
          <w:bCs w:val="1"/>
          <w:sz w:val="24"/>
          <w:szCs w:val="24"/>
        </w:rPr>
      </w:pPr>
      <w:bookmarkStart w:colFirst="0" w:colLast="0" w:name="_etqso9xuevt7" w:id="1"/>
      <w:bookmarkEnd w:id="1"/>
      <w:r w:rsidDel="00000000" w:rsidR="00000000" w:rsidRPr="00000000">
        <w:rPr>
          <w:b w:val="1"/>
          <w:bCs w:val="1"/>
          <w:sz w:val="24"/>
          <w:szCs w:val="24"/>
          <w:rtl w:val="0"/>
        </w:rPr>
        <w:t xml:space="preserve">Purpose of Policy</w:t>
      </w:r>
    </w:p>
    <w:p w:rsidR="00000000" w:rsidDel="00000000" w:rsidP="00000000" w:rsidRDefault="00000000" w:rsidRPr="00000000" w14:paraId="00000003">
      <w:pPr>
        <w:spacing w:after="240" w:before="240" w:line="240" w:lineRule="auto"/>
        <w:rPr>
          <w:sz w:val="24"/>
          <w:szCs w:val="24"/>
        </w:rPr>
      </w:pPr>
      <w:r w:rsidDel="00000000" w:rsidR="00000000" w:rsidRPr="00000000">
        <w:rPr>
          <w:sz w:val="24"/>
          <w:szCs w:val="24"/>
          <w:rtl w:val="0"/>
        </w:rPr>
        <w:t xml:space="preserve">These policies provide for the systematic review, retention, and destruction of records received or created by [Nonprofit Name] in connection with the transaction of business. They cover all records, regardless of physical form, and provide guidelines for how long certain records should be kept and how records should be destroyed.</w:t>
      </w:r>
    </w:p>
    <w:p w:rsidR="00000000" w:rsidDel="00000000" w:rsidP="00000000" w:rsidRDefault="00000000" w:rsidRPr="00000000" w14:paraId="00000004">
      <w:pPr>
        <w:spacing w:after="240" w:before="240" w:line="240" w:lineRule="auto"/>
        <w:rPr>
          <w:sz w:val="24"/>
          <w:szCs w:val="24"/>
        </w:rPr>
      </w:pPr>
      <w:r w:rsidDel="00000000" w:rsidR="00000000" w:rsidRPr="00000000">
        <w:rPr>
          <w:sz w:val="24"/>
          <w:szCs w:val="24"/>
          <w:rtl w:val="0"/>
        </w:rPr>
        <w:t xml:space="preserve">The purpose of these policies is to:</w:t>
      </w:r>
    </w:p>
    <w:p w:rsidR="00000000" w:rsidDel="00000000" w:rsidP="00000000" w:rsidRDefault="00000000" w:rsidRPr="00000000" w14:paraId="00000005">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Ensure compliance with federal, state, and local laws and regulations.</w:t>
        <w:br w:type="textWrapping"/>
      </w:r>
    </w:p>
    <w:p w:rsidR="00000000" w:rsidDel="00000000" w:rsidP="00000000" w:rsidRDefault="00000000" w:rsidRPr="00000000" w14:paraId="00000006">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Prevent accidental or improper destruction of records.</w:t>
        <w:br w:type="textWrapping"/>
      </w:r>
    </w:p>
    <w:p w:rsidR="00000000" w:rsidDel="00000000" w:rsidP="00000000" w:rsidRDefault="00000000" w:rsidRPr="00000000" w14:paraId="00000007">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Facilitate efficient operations by freeing up storage space and improving access to important records.</w:t>
      </w:r>
    </w:p>
    <w:p w:rsidR="00000000" w:rsidDel="00000000" w:rsidP="00000000" w:rsidRDefault="00000000" w:rsidRPr="00000000" w14:paraId="00000008">
      <w:pPr>
        <w:spacing w:after="240" w:before="240" w:line="240" w:lineRule="auto"/>
        <w:rPr>
          <w:sz w:val="24"/>
          <w:szCs w:val="24"/>
        </w:rPr>
      </w:pPr>
      <w:r w:rsidDel="00000000" w:rsidR="00000000" w:rsidRPr="00000000">
        <w:rPr>
          <w:sz w:val="24"/>
          <w:szCs w:val="24"/>
          <w:rtl w:val="0"/>
        </w:rPr>
        <w:t xml:space="preserve">Included among the federal laws necessitating compliance with these policies is the Sarbanes-Oxley Act (The American Competitiveness and Corporate Accountability Act of 2002), which makes it a crime to alter, cover up, falsify, or destroy any document with the intent of impeding or obstructing any official proceeding.</w:t>
      </w:r>
    </w:p>
    <w:p w:rsidR="00000000" w:rsidDel="00000000" w:rsidP="00000000" w:rsidRDefault="00000000" w:rsidRPr="00000000" w14:paraId="00000009">
      <w:pPr>
        <w:spacing w:line="240" w:lineRule="auto"/>
        <w:rPr>
          <w:b w:val="1"/>
          <w:bCs w:val="1"/>
          <w:sz w:val="24"/>
          <w:szCs w:val="24"/>
        </w:rPr>
      </w:pPr>
      <w:r w:rsidDel="00000000" w:rsidR="00000000" w:rsidRPr="00000000">
        <w:rPr>
          <w:b w:val="1"/>
          <w:bCs w:val="1"/>
          <w:sz w:val="24"/>
          <w:szCs w:val="24"/>
          <w:rtl w:val="0"/>
        </w:rPr>
        <w:t xml:space="preserve">Records Covered</w:t>
      </w:r>
    </w:p>
    <w:p w:rsidR="00000000" w:rsidDel="00000000" w:rsidP="00000000" w:rsidRDefault="00000000" w:rsidRPr="00000000" w14:paraId="0000000A">
      <w:pPr>
        <w:spacing w:after="240" w:before="240" w:line="240" w:lineRule="auto"/>
        <w:rPr>
          <w:sz w:val="24"/>
          <w:szCs w:val="24"/>
        </w:rPr>
      </w:pPr>
      <w:r w:rsidDel="00000000" w:rsidR="00000000" w:rsidRPr="00000000">
        <w:rPr>
          <w:sz w:val="24"/>
          <w:szCs w:val="24"/>
          <w:rtl w:val="0"/>
        </w:rPr>
        <w:t xml:space="preserve">These policies apply to all records created or received by [Nonprofit Name], regardless of format, including paper documents, electronic documents, emails, spreadsheets, presentations, text messages, and other electronic communications.</w:t>
      </w:r>
    </w:p>
    <w:p w:rsidR="00000000" w:rsidDel="00000000" w:rsidP="00000000" w:rsidRDefault="00000000" w:rsidRPr="00000000" w14:paraId="0000000B">
      <w:pPr>
        <w:spacing w:after="240" w:before="240" w:line="240" w:lineRule="auto"/>
        <w:rPr>
          <w:sz w:val="24"/>
          <w:szCs w:val="24"/>
        </w:rPr>
      </w:pPr>
      <w:r w:rsidDel="00000000" w:rsidR="00000000" w:rsidRPr="00000000">
        <w:rPr>
          <w:sz w:val="24"/>
          <w:szCs w:val="24"/>
          <w:rtl w:val="0"/>
        </w:rPr>
        <w:t xml:space="preserve">For the purpose of these policies, a record is any material that contains information about [Nonprofit Name]’s plans, results, policies, procedures, or performance. Anything that can be represented with words or numbers is considered a business record.</w:t>
      </w:r>
    </w:p>
    <w:p w:rsidR="00000000" w:rsidDel="00000000" w:rsidP="00000000" w:rsidRDefault="00000000" w:rsidRPr="00000000" w14:paraId="0000000C">
      <w:pPr>
        <w:spacing w:after="240" w:before="240" w:line="240" w:lineRule="auto"/>
        <w:rPr>
          <w:sz w:val="24"/>
          <w:szCs w:val="24"/>
        </w:rPr>
      </w:pPr>
      <w:r w:rsidDel="00000000" w:rsidR="00000000" w:rsidRPr="00000000">
        <w:rPr>
          <w:sz w:val="24"/>
          <w:szCs w:val="24"/>
          <w:rtl w:val="0"/>
        </w:rPr>
        <w:t xml:space="preserve">Electronic documents must be retained as if they were paper documents. For example, if an email message contains information that falls into one of the record types on the retention schedule, it should either be printed and filed appropriately or archived in a secure electronic folder. Backup and recovery systems for electronic records will be tested regularly to ensure accessibility.</w:t>
      </w:r>
    </w:p>
    <w:p w:rsidR="00000000" w:rsidDel="00000000" w:rsidP="00000000" w:rsidRDefault="00000000" w:rsidRPr="00000000" w14:paraId="0000000D">
      <w:pPr>
        <w:spacing w:line="240" w:lineRule="auto"/>
        <w:rPr>
          <w:b w:val="1"/>
          <w:bCs w:val="1"/>
          <w:sz w:val="24"/>
          <w:szCs w:val="24"/>
        </w:rPr>
      </w:pPr>
      <w:r w:rsidDel="00000000" w:rsidR="00000000" w:rsidRPr="00000000">
        <w:rPr>
          <w:b w:val="1"/>
          <w:bCs w:val="1"/>
          <w:sz w:val="24"/>
          <w:szCs w:val="24"/>
          <w:rtl w:val="0"/>
        </w:rPr>
        <w:t xml:space="preserve">Retention Guidelines</w:t>
      </w:r>
    </w:p>
    <w:p w:rsidR="00000000" w:rsidDel="00000000" w:rsidP="00000000" w:rsidRDefault="00000000" w:rsidRPr="00000000" w14:paraId="0000000E">
      <w:pPr>
        <w:spacing w:after="240" w:before="240" w:line="240" w:lineRule="auto"/>
        <w:rPr>
          <w:sz w:val="24"/>
          <w:szCs w:val="24"/>
        </w:rPr>
      </w:pPr>
      <w:r w:rsidDel="00000000" w:rsidR="00000000" w:rsidRPr="00000000">
        <w:rPr>
          <w:sz w:val="24"/>
          <w:szCs w:val="24"/>
          <w:rtl w:val="0"/>
        </w:rPr>
        <w:t xml:space="preserve">Records must be retained for the period specified in the retention schedule attached to this policy. Retention periods are based on legal requirements, operational needs, and historical value. Examples of categories and retention periods include, but are not limited to:</w:t>
      </w:r>
    </w:p>
    <w:p w:rsidR="00000000" w:rsidDel="00000000" w:rsidP="00000000" w:rsidRDefault="00000000" w:rsidRPr="00000000" w14:paraId="0000000F">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Corporate Records:</w:t>
      </w:r>
      <w:r w:rsidDel="00000000" w:rsidR="00000000" w:rsidRPr="00000000">
        <w:rPr>
          <w:sz w:val="24"/>
          <w:szCs w:val="24"/>
          <w:rtl w:val="0"/>
        </w:rPr>
        <w:t xml:space="preserve"> Articles of Incorporation, Bylaws, Board Meeting Minutes – Permanent.</w:t>
      </w:r>
    </w:p>
    <w:p w:rsidR="00000000" w:rsidDel="00000000" w:rsidP="00000000" w:rsidRDefault="00000000" w:rsidRPr="00000000" w14:paraId="00000010">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Financial Records:</w:t>
      </w:r>
      <w:r w:rsidDel="00000000" w:rsidR="00000000" w:rsidRPr="00000000">
        <w:rPr>
          <w:sz w:val="24"/>
          <w:szCs w:val="24"/>
          <w:rtl w:val="0"/>
        </w:rPr>
        <w:t xml:space="preserve"> Annual Audits, Tax Filings – 7 years; Bank Statements – 7 years.</w:t>
      </w:r>
    </w:p>
    <w:p w:rsidR="00000000" w:rsidDel="00000000" w:rsidP="00000000" w:rsidRDefault="00000000" w:rsidRPr="00000000" w14:paraId="00000011">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Personnel Records:</w:t>
      </w:r>
      <w:r w:rsidDel="00000000" w:rsidR="00000000" w:rsidRPr="00000000">
        <w:rPr>
          <w:sz w:val="24"/>
          <w:szCs w:val="24"/>
          <w:rtl w:val="0"/>
        </w:rPr>
        <w:t xml:space="preserve"> Employee contracts, payroll records – 7 years after termination.</w:t>
      </w:r>
    </w:p>
    <w:p w:rsidR="00000000" w:rsidDel="00000000" w:rsidP="00000000" w:rsidRDefault="00000000" w:rsidRPr="00000000" w14:paraId="00000012">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Program Records:</w:t>
      </w:r>
      <w:r w:rsidDel="00000000" w:rsidR="00000000" w:rsidRPr="00000000">
        <w:rPr>
          <w:sz w:val="24"/>
          <w:szCs w:val="24"/>
          <w:rtl w:val="0"/>
        </w:rPr>
        <w:t xml:space="preserve"> Grant applications and reports – 7 years; Client or participant records – 7 years.</w:t>
      </w:r>
    </w:p>
    <w:p w:rsidR="00000000" w:rsidDel="00000000" w:rsidP="00000000" w:rsidRDefault="00000000" w:rsidRPr="00000000" w14:paraId="00000013">
      <w:pPr>
        <w:numPr>
          <w:ilvl w:val="0"/>
          <w:numId w:val="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Legal and Compliance Records:</w:t>
      </w:r>
      <w:r w:rsidDel="00000000" w:rsidR="00000000" w:rsidRPr="00000000">
        <w:rPr>
          <w:sz w:val="24"/>
          <w:szCs w:val="24"/>
          <w:rtl w:val="0"/>
        </w:rPr>
        <w:t xml:space="preserve"> Contracts and agreements – 7 years after expiration; Insurance policies – 7 years after expiration.</w:t>
        <w:br w:type="textWrapping"/>
      </w:r>
    </w:p>
    <w:p w:rsidR="00000000" w:rsidDel="00000000" w:rsidP="00000000" w:rsidRDefault="00000000" w:rsidRPr="00000000" w14:paraId="00000014">
      <w:pPr>
        <w:spacing w:after="240" w:before="240" w:line="240" w:lineRule="auto"/>
        <w:rPr>
          <w:sz w:val="24"/>
          <w:szCs w:val="24"/>
        </w:rPr>
      </w:pPr>
      <w:r w:rsidDel="00000000" w:rsidR="00000000" w:rsidRPr="00000000">
        <w:rPr>
          <w:sz w:val="24"/>
          <w:szCs w:val="24"/>
          <w:rtl w:val="0"/>
        </w:rPr>
        <w:t xml:space="preserve">Retention periods may be adjusted if required by changes in laws, regulations, or organizational needs.</w:t>
      </w:r>
    </w:p>
    <w:p w:rsidR="00000000" w:rsidDel="00000000" w:rsidP="00000000" w:rsidRDefault="00000000" w:rsidRPr="00000000" w14:paraId="00000015">
      <w:pPr>
        <w:spacing w:line="240" w:lineRule="auto"/>
        <w:rPr>
          <w:b w:val="1"/>
          <w:bCs w:val="1"/>
          <w:sz w:val="24"/>
          <w:szCs w:val="24"/>
        </w:rPr>
      </w:pPr>
      <w:r w:rsidDel="00000000" w:rsidR="00000000" w:rsidRPr="00000000">
        <w:rPr>
          <w:b w:val="1"/>
          <w:bCs w:val="1"/>
          <w:sz w:val="24"/>
          <w:szCs w:val="24"/>
          <w:rtl w:val="0"/>
        </w:rPr>
        <w:t xml:space="preserve">Record Destruction</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Once the retention period for a record has expired, the record may be destroyed, except where there is pending or anticipated litigation, audit, or investigation.</w:t>
      </w:r>
    </w:p>
    <w:p w:rsidR="00000000" w:rsidDel="00000000" w:rsidP="00000000" w:rsidRDefault="00000000" w:rsidRPr="00000000" w14:paraId="00000017">
      <w:pPr>
        <w:numPr>
          <w:ilvl w:val="0"/>
          <w:numId w:val="4"/>
        </w:numPr>
        <w:spacing w:after="0" w:afterAutospacing="0" w:before="240" w:line="240" w:lineRule="auto"/>
        <w:ind w:left="720" w:hanging="360"/>
        <w:rPr>
          <w:sz w:val="24"/>
          <w:szCs w:val="24"/>
        </w:rPr>
      </w:pPr>
      <w:r w:rsidDel="00000000" w:rsidR="00000000" w:rsidRPr="00000000">
        <w:rPr>
          <w:b w:val="1"/>
          <w:bCs w:val="1"/>
          <w:sz w:val="24"/>
          <w:szCs w:val="24"/>
          <w:rtl w:val="0"/>
        </w:rPr>
        <w:t xml:space="preserve">Paper records</w:t>
      </w:r>
      <w:r w:rsidDel="00000000" w:rsidR="00000000" w:rsidRPr="00000000">
        <w:rPr>
          <w:sz w:val="24"/>
          <w:szCs w:val="24"/>
          <w:rtl w:val="0"/>
        </w:rPr>
        <w:t xml:space="preserve"> should be shredded or incinerated to prevent unauthorized access.</w:t>
      </w:r>
    </w:p>
    <w:p w:rsidR="00000000" w:rsidDel="00000000" w:rsidP="00000000" w:rsidRDefault="00000000" w:rsidRPr="00000000" w14:paraId="00000018">
      <w:pPr>
        <w:numPr>
          <w:ilvl w:val="0"/>
          <w:numId w:val="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Electronic records</w:t>
      </w:r>
      <w:r w:rsidDel="00000000" w:rsidR="00000000" w:rsidRPr="00000000">
        <w:rPr>
          <w:sz w:val="24"/>
          <w:szCs w:val="24"/>
          <w:rtl w:val="0"/>
        </w:rPr>
        <w:t xml:space="preserve"> should be deleted in a manner that ensures they cannot be recovered.</w:t>
      </w:r>
    </w:p>
    <w:p w:rsidR="00000000" w:rsidDel="00000000" w:rsidP="00000000" w:rsidRDefault="00000000" w:rsidRPr="00000000" w14:paraId="00000019">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Record of Destruction</w:t>
      </w:r>
      <w:r w:rsidDel="00000000" w:rsidR="00000000" w:rsidRPr="00000000">
        <w:rPr>
          <w:sz w:val="24"/>
          <w:szCs w:val="24"/>
          <w:rtl w:val="0"/>
        </w:rPr>
        <w:t xml:space="preserve"> should be maintained for significant records, noting the type of record, date of destruction, and responsible party.</w:t>
      </w:r>
    </w:p>
    <w:p w:rsidR="00000000" w:rsidDel="00000000" w:rsidP="00000000" w:rsidRDefault="00000000" w:rsidRPr="00000000" w14:paraId="0000001A">
      <w:pPr>
        <w:spacing w:line="240" w:lineRule="auto"/>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1B">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Executive Director</w:t>
      </w:r>
      <w:r w:rsidDel="00000000" w:rsidR="00000000" w:rsidRPr="00000000">
        <w:rPr>
          <w:sz w:val="24"/>
          <w:szCs w:val="24"/>
          <w:rtl w:val="0"/>
        </w:rPr>
        <w:t xml:space="preserve"> is responsible for overall compliance with this policy.</w:t>
      </w:r>
    </w:p>
    <w:p w:rsidR="00000000" w:rsidDel="00000000" w:rsidP="00000000" w:rsidRDefault="00000000" w:rsidRPr="00000000" w14:paraId="0000001C">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Department managers are responsible for ensuring their teams retain records in accordance with the retention schedule and securely dispose of expired records.</w:t>
      </w:r>
    </w:p>
    <w:p w:rsidR="00000000" w:rsidDel="00000000" w:rsidP="00000000" w:rsidRDefault="00000000" w:rsidRPr="00000000" w14:paraId="0000001D">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All employees, volunteers, and contractors must adhere to these policies and protect the confidentiality and security of organizational records.</w:t>
        <w:br w:type="textWrapping"/>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b w:val="1"/>
          <w:bCs w:val="1"/>
          <w:color w:val="6c9e1b"/>
          <w:sz w:val="24"/>
          <w:szCs w:val="24"/>
          <w:highlight w:val="white"/>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drawing>
        <wp:inline distB="114300" distT="114300" distL="114300" distR="114300">
          <wp:extent cx="709613" cy="7096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9613"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